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1D65" w14:textId="6DDE84BD" w:rsidR="006E516B" w:rsidRDefault="00FC2F4A" w:rsidP="000F44B4">
      <w:pPr>
        <w:jc w:val="center"/>
        <w:rPr>
          <w:b/>
          <w:color w:val="000000" w:themeColor="text1"/>
          <w:sz w:val="28"/>
          <w:szCs w:val="28"/>
          <w:lang w:val="en-US"/>
        </w:rPr>
      </w:pPr>
      <w:r>
        <w:rPr>
          <w:b/>
          <w:color w:val="000000" w:themeColor="text1"/>
          <w:sz w:val="28"/>
          <w:szCs w:val="28"/>
          <w:lang w:val="en-US"/>
        </w:rPr>
        <w:t xml:space="preserve">Indian </w:t>
      </w:r>
      <w:r w:rsidR="000F44B4" w:rsidRPr="000F44B4">
        <w:rPr>
          <w:b/>
          <w:color w:val="000000" w:themeColor="text1"/>
          <w:sz w:val="28"/>
          <w:szCs w:val="28"/>
          <w:lang w:val="en-US"/>
        </w:rPr>
        <w:t>Ni</w:t>
      </w:r>
      <w:r w:rsidR="00C6478C">
        <w:rPr>
          <w:b/>
          <w:color w:val="000000" w:themeColor="text1"/>
          <w:sz w:val="28"/>
          <w:szCs w:val="28"/>
          <w:lang w:val="en-US"/>
        </w:rPr>
        <w:t>fty estimated to reach 24,000; w</w:t>
      </w:r>
      <w:r w:rsidR="000F44B4" w:rsidRPr="000F44B4">
        <w:rPr>
          <w:b/>
          <w:color w:val="000000" w:themeColor="text1"/>
          <w:sz w:val="28"/>
          <w:szCs w:val="28"/>
          <w:lang w:val="en-US"/>
        </w:rPr>
        <w:t>itness an upside of 11% in 2024: Emkay Institutional Equities</w:t>
      </w:r>
    </w:p>
    <w:p w14:paraId="451C5FB1" w14:textId="77777777" w:rsidR="00F93520" w:rsidRPr="00F93520" w:rsidRDefault="00F93520" w:rsidP="000F44B4">
      <w:pPr>
        <w:jc w:val="center"/>
        <w:rPr>
          <w:color w:val="000000" w:themeColor="text1"/>
          <w:sz w:val="24"/>
          <w:szCs w:val="24"/>
          <w:lang w:val="en-US"/>
        </w:rPr>
      </w:pPr>
      <w:r w:rsidRPr="00F93520">
        <w:rPr>
          <w:sz w:val="24"/>
          <w:szCs w:val="24"/>
        </w:rPr>
        <w:t>FY25 equity inflows to exceed the USD 36.7bn inflows of FY21</w:t>
      </w:r>
    </w:p>
    <w:p w14:paraId="6C8FE563" w14:textId="61D7D44E" w:rsidR="00385148" w:rsidRDefault="00FC2F4A" w:rsidP="00F318C6">
      <w:pPr>
        <w:jc w:val="both"/>
      </w:pPr>
      <w:r w:rsidRPr="002D114A">
        <w:rPr>
          <w:b/>
          <w:color w:val="000000" w:themeColor="text1"/>
          <w:lang w:val="en-US"/>
        </w:rPr>
        <w:t>Mumbai, January 18, 2024</w:t>
      </w:r>
      <w:r>
        <w:rPr>
          <w:color w:val="000000" w:themeColor="text1"/>
          <w:lang w:val="en-US"/>
        </w:rPr>
        <w:t>: Emkay Institutional Equities</w:t>
      </w:r>
      <w:r w:rsidR="00385148">
        <w:rPr>
          <w:color w:val="000000" w:themeColor="text1"/>
          <w:lang w:val="en-US"/>
        </w:rPr>
        <w:t xml:space="preserve"> (</w:t>
      </w:r>
      <w:r w:rsidR="00771098">
        <w:rPr>
          <w:color w:val="000000" w:themeColor="text1"/>
          <w:lang w:val="en-US"/>
        </w:rPr>
        <w:t>“</w:t>
      </w:r>
      <w:r w:rsidR="00385148">
        <w:rPr>
          <w:color w:val="000000" w:themeColor="text1"/>
          <w:lang w:val="en-US"/>
        </w:rPr>
        <w:t>Emkay</w:t>
      </w:r>
      <w:r w:rsidR="00771098">
        <w:rPr>
          <w:color w:val="000000" w:themeColor="text1"/>
          <w:lang w:val="en-US"/>
        </w:rPr>
        <w:t>”</w:t>
      </w:r>
      <w:r w:rsidR="00385148">
        <w:rPr>
          <w:color w:val="000000" w:themeColor="text1"/>
          <w:lang w:val="en-US"/>
        </w:rPr>
        <w:t>)</w:t>
      </w:r>
      <w:r>
        <w:rPr>
          <w:color w:val="000000" w:themeColor="text1"/>
          <w:lang w:val="en-US"/>
        </w:rPr>
        <w:t xml:space="preserve">, </w:t>
      </w:r>
      <w:r w:rsidR="00771098">
        <w:t xml:space="preserve">a part of Emkay Global Financial Services Limited, </w:t>
      </w:r>
      <w:r>
        <w:rPr>
          <w:color w:val="000000" w:themeColor="text1"/>
          <w:lang w:val="en-US"/>
        </w:rPr>
        <w:t xml:space="preserve">estimates Nifty to scale up to 24,000 level; registering a </w:t>
      </w:r>
      <w:r w:rsidR="00311073">
        <w:rPr>
          <w:color w:val="000000" w:themeColor="text1"/>
          <w:lang w:val="en-US"/>
        </w:rPr>
        <w:t xml:space="preserve">return of 11% by December 2024. </w:t>
      </w:r>
      <w:r w:rsidR="00F318C6">
        <w:t>SMIDs (small and mid</w:t>
      </w:r>
      <w:r w:rsidR="00A554A1">
        <w:t>-c</w:t>
      </w:r>
      <w:r w:rsidR="00F318C6">
        <w:t xml:space="preserve">aps) should continue to outperform, with better earnings growth and momentum in return ratios. </w:t>
      </w:r>
    </w:p>
    <w:p w14:paraId="675FE9DE" w14:textId="77777777" w:rsidR="005B5917" w:rsidRDefault="00385148" w:rsidP="00B64F5A">
      <w:pPr>
        <w:jc w:val="both"/>
      </w:pPr>
      <w:r>
        <w:t>Th</w:t>
      </w:r>
      <w:r w:rsidR="00F47745">
        <w:t>e US Fed is expected to</w:t>
      </w:r>
      <w:r>
        <w:t xml:space="preserve"> start easing in 3QCY24 with measured cuts, </w:t>
      </w:r>
      <w:r w:rsidR="002D114A">
        <w:t xml:space="preserve">and RBI would follow suit almost immediately. </w:t>
      </w:r>
      <w:r w:rsidR="005B5917">
        <w:t xml:space="preserve">This would give fillip to valuations in growth stocks, especially in the sectors such as manufacturing and some premium consumer categories that are seeing macro tailwinds. </w:t>
      </w:r>
      <w:r w:rsidR="005B5917" w:rsidRPr="005B5917">
        <w:rPr>
          <w:b/>
        </w:rPr>
        <w:t>Emkay expects FY25 equity inflows to exceed the USD</w:t>
      </w:r>
      <w:r w:rsidR="005B5917">
        <w:rPr>
          <w:b/>
        </w:rPr>
        <w:t xml:space="preserve"> </w:t>
      </w:r>
      <w:r w:rsidR="005B5917" w:rsidRPr="005B5917">
        <w:rPr>
          <w:b/>
        </w:rPr>
        <w:t>36.7bn inflows of FY21</w:t>
      </w:r>
      <w:r w:rsidR="005B5917">
        <w:t xml:space="preserve">, given that: </w:t>
      </w:r>
      <w:proofErr w:type="spellStart"/>
      <w:r w:rsidR="005B5917">
        <w:t>i</w:t>
      </w:r>
      <w:proofErr w:type="spellEnd"/>
      <w:r w:rsidR="005B5917">
        <w:t>) the larger market-cap base has improved India's absorptive capabilities; and ii) India is set to garner a larger share of risk-off emerging market flows, triggered by Fed rate-cuts, given China's inability to attract flows.</w:t>
      </w:r>
      <w:r w:rsidR="00F93520">
        <w:t xml:space="preserve"> </w:t>
      </w:r>
    </w:p>
    <w:p w14:paraId="659BE0DB" w14:textId="77777777" w:rsidR="00F93520" w:rsidRDefault="00F93520" w:rsidP="00B64F5A">
      <w:pPr>
        <w:jc w:val="both"/>
      </w:pPr>
      <w:r w:rsidRPr="00F93520">
        <w:rPr>
          <w:b/>
        </w:rPr>
        <w:t>Banks would face immediate short-term pressure in the early part of the easing cycle. External-benchmarked mortgages would reprice downwards almost immediately, followed by short-term corporate loans.</w:t>
      </w:r>
      <w:r>
        <w:t xml:space="preserve"> For most large-cap banks expected to show slower earnings growth in FY25 than the preceding years which would be a drag on the stocks. The reverse of the 2-3Q FY23 story would play out, with bank margins falling sharply and stocks underperforming.</w:t>
      </w:r>
    </w:p>
    <w:p w14:paraId="280E3163" w14:textId="77777777" w:rsidR="005B5917" w:rsidRDefault="005B5917" w:rsidP="00B64F5A">
      <w:pPr>
        <w:jc w:val="both"/>
      </w:pPr>
    </w:p>
    <w:p w14:paraId="43897829" w14:textId="590E6BE4" w:rsidR="00B64F5A" w:rsidRPr="004D5429" w:rsidRDefault="00B64F5A" w:rsidP="00B64F5A">
      <w:pPr>
        <w:jc w:val="both"/>
      </w:pPr>
      <w:r>
        <w:rPr>
          <w:color w:val="000000" w:themeColor="text1"/>
          <w:lang w:val="en-US"/>
        </w:rPr>
        <w:t>According to</w:t>
      </w:r>
      <w:r w:rsidR="00A554A1">
        <w:rPr>
          <w:color w:val="000000" w:themeColor="text1"/>
          <w:lang w:val="en-US"/>
        </w:rPr>
        <w:t xml:space="preserve"> </w:t>
      </w:r>
      <w:r w:rsidR="00A554A1" w:rsidRPr="00A554A1">
        <w:rPr>
          <w:b/>
          <w:bCs/>
          <w:color w:val="000000" w:themeColor="text1"/>
          <w:lang w:val="en-US"/>
        </w:rPr>
        <w:t>Mr.</w:t>
      </w:r>
      <w:r w:rsidR="00A554A1">
        <w:rPr>
          <w:color w:val="000000" w:themeColor="text1"/>
          <w:lang w:val="en-US"/>
        </w:rPr>
        <w:t xml:space="preserve"> </w:t>
      </w:r>
      <w:r w:rsidR="00A554A1" w:rsidRPr="00A554A1">
        <w:rPr>
          <w:b/>
          <w:bCs/>
          <w:color w:val="000000" w:themeColor="text1"/>
          <w:lang w:val="en-US"/>
        </w:rPr>
        <w:t>Seshadri Sen, Head of Research &amp; Strategist, Emkay Global Financial Services</w:t>
      </w:r>
      <w:r>
        <w:rPr>
          <w:color w:val="000000" w:themeColor="text1"/>
          <w:lang w:val="en-US"/>
        </w:rPr>
        <w:t xml:space="preserve">, </w:t>
      </w:r>
      <w:r w:rsidRPr="008408D4">
        <w:rPr>
          <w:i/>
          <w:color w:val="000000" w:themeColor="text1"/>
          <w:lang w:val="en-US"/>
        </w:rPr>
        <w:t xml:space="preserve">“With index setting at long term mean valuations, we expect 11% return for the Nifty in 2024. </w:t>
      </w:r>
      <w:r w:rsidR="004D5429">
        <w:t xml:space="preserve">The current composition of the Nifty is predominantly defensive. </w:t>
      </w:r>
      <w:r w:rsidR="004D5429" w:rsidRPr="004D5429">
        <w:rPr>
          <w:i/>
        </w:rPr>
        <w:t xml:space="preserve">The India story is largely a capex-driven, industrials-led earnings bounce-back. The Nifty, on the other hand, is largely driven by consumption and, to some extent, tech. </w:t>
      </w:r>
      <w:r w:rsidRPr="008408D4">
        <w:rPr>
          <w:i/>
          <w:color w:val="000000" w:themeColor="text1"/>
          <w:lang w:val="en-US"/>
        </w:rPr>
        <w:t xml:space="preserve">There is </w:t>
      </w:r>
      <w:r w:rsidRPr="008408D4">
        <w:rPr>
          <w:i/>
        </w:rPr>
        <w:t>growing divergence between Nifty and NSE500 weights. So, while the economy and broader markets would still rule at high valuations in Dec-24, such optimism may not reflect in the broader Nifty. Manufacturing and infrastructure are the expected to gain prominence as prime themes in the year 2024.”</w:t>
      </w:r>
    </w:p>
    <w:p w14:paraId="0BD38488" w14:textId="368F7AAE" w:rsidR="001C5562" w:rsidRDefault="001C5562" w:rsidP="00B64F5A">
      <w:pPr>
        <w:jc w:val="both"/>
        <w:rPr>
          <w:i/>
        </w:rPr>
      </w:pPr>
      <w:r>
        <w:t xml:space="preserve">According to </w:t>
      </w:r>
      <w:r w:rsidR="00A554A1" w:rsidRPr="00A554A1">
        <w:rPr>
          <w:b/>
          <w:bCs/>
        </w:rPr>
        <w:t>Mr.</w:t>
      </w:r>
      <w:r w:rsidR="00A554A1">
        <w:t xml:space="preserve"> </w:t>
      </w:r>
      <w:r w:rsidRPr="00A554A1">
        <w:rPr>
          <w:b/>
          <w:bCs/>
        </w:rPr>
        <w:t>Nirav</w:t>
      </w:r>
      <w:r w:rsidR="00A554A1" w:rsidRPr="00A554A1">
        <w:rPr>
          <w:b/>
          <w:bCs/>
        </w:rPr>
        <w:t xml:space="preserve"> Sheth, CEO- Institutional Equities</w:t>
      </w:r>
      <w:r w:rsidRPr="00A554A1">
        <w:rPr>
          <w:b/>
          <w:bCs/>
        </w:rPr>
        <w:t>,</w:t>
      </w:r>
      <w:r w:rsidR="00A554A1" w:rsidRPr="00A554A1">
        <w:rPr>
          <w:b/>
          <w:bCs/>
        </w:rPr>
        <w:t xml:space="preserve"> Emkay Global Financial Services</w:t>
      </w:r>
      <w:r w:rsidR="00A554A1">
        <w:t xml:space="preserve">, </w:t>
      </w:r>
      <w:r>
        <w:t>“</w:t>
      </w:r>
      <w:r w:rsidR="004D5429" w:rsidRPr="00F318C6">
        <w:rPr>
          <w:i/>
        </w:rPr>
        <w:t xml:space="preserve">From aspect of the economy, as Indian macros are not sensitive to rate cuts, a rate cut is not expected to result in a major growth stimulus. However, it will influence stock market to make an upward mobility in its direction. </w:t>
      </w:r>
      <w:r w:rsidR="00F318C6" w:rsidRPr="00F318C6">
        <w:rPr>
          <w:i/>
        </w:rPr>
        <w:t>The biggest positive of a rate cut would be the impact on foreign portfolio flows. FPI flows are anyway expected to be strong in 2024, with the debt market set to see passive inflows of USD25-30bn from inclusion in the JP Morgan bond index.</w:t>
      </w:r>
      <w:r w:rsidR="00053E15">
        <w:rPr>
          <w:i/>
        </w:rPr>
        <w:t xml:space="preserve"> </w:t>
      </w:r>
      <w:r w:rsidR="004D5429" w:rsidRPr="00F318C6">
        <w:rPr>
          <w:i/>
        </w:rPr>
        <w:t>M</w:t>
      </w:r>
      <w:r w:rsidRPr="00F318C6">
        <w:rPr>
          <w:i/>
        </w:rPr>
        <w:t>ost of the macro positives would be huddled in Apr-Sep 2023: the election results, a strong budget, Fed and RBI rate cuts, and a possible margin windfall from weaker commodity prices.”</w:t>
      </w:r>
    </w:p>
    <w:p w14:paraId="0650C779" w14:textId="77777777" w:rsidR="00A554A1" w:rsidRPr="000F44B4" w:rsidRDefault="00A554A1" w:rsidP="00B64F5A">
      <w:pPr>
        <w:jc w:val="both"/>
        <w:rPr>
          <w:color w:val="000000" w:themeColor="text1"/>
          <w:lang w:val="en-US"/>
        </w:rPr>
      </w:pPr>
    </w:p>
    <w:p w14:paraId="4C8FFB65" w14:textId="77777777" w:rsidR="000F44B4" w:rsidRDefault="00AE0D5E">
      <w:pPr>
        <w:rPr>
          <w:b/>
          <w:color w:val="44546A" w:themeColor="text2"/>
          <w:lang w:val="en-US"/>
        </w:rPr>
      </w:pPr>
      <w:r w:rsidRPr="00AE0D5E">
        <w:rPr>
          <w:b/>
          <w:color w:val="44546A" w:themeColor="text2"/>
          <w:lang w:val="en-US"/>
        </w:rPr>
        <w:t>Bond rally only at the short end</w:t>
      </w:r>
    </w:p>
    <w:p w14:paraId="4AAC2F0D" w14:textId="77777777" w:rsidR="00AE0D5E" w:rsidRDefault="00AE0D5E" w:rsidP="00AE0D5E">
      <w:pPr>
        <w:rPr>
          <w:b/>
        </w:rPr>
      </w:pPr>
      <w:r>
        <w:t xml:space="preserve">The fall in rates is likely to be restricted to the short end of the curve. The 10-year yield is at one of its lowest points relative to the repo rate, having rallied sharply in CY23. This leaves </w:t>
      </w:r>
      <w:r w:rsidRPr="00AE0D5E">
        <w:rPr>
          <w:b/>
        </w:rPr>
        <w:t xml:space="preserve">little room for further upside in the 10-year yield. </w:t>
      </w:r>
      <w:r>
        <w:rPr>
          <w:b/>
        </w:rPr>
        <w:t xml:space="preserve">The </w:t>
      </w:r>
      <w:r w:rsidRPr="00AE0D5E">
        <w:rPr>
          <w:b/>
        </w:rPr>
        <w:t>short-end yields, however, falling by 50-75bps, depending on how accommodative the RBI turns</w:t>
      </w:r>
      <w:r>
        <w:rPr>
          <w:b/>
        </w:rPr>
        <w:t>.</w:t>
      </w:r>
    </w:p>
    <w:p w14:paraId="4A95EC00" w14:textId="77777777" w:rsidR="00AE0D5E" w:rsidRDefault="00AE0D5E" w:rsidP="00AE0D5E">
      <w:r w:rsidRPr="00AE0D5E">
        <w:rPr>
          <w:b/>
          <w:color w:val="44546A" w:themeColor="text2"/>
        </w:rPr>
        <w:lastRenderedPageBreak/>
        <w:t>Fiscal deficit</w:t>
      </w:r>
    </w:p>
    <w:p w14:paraId="748B9383" w14:textId="77777777" w:rsidR="00AE0D5E" w:rsidRDefault="00AE0D5E" w:rsidP="00AE0D5E">
      <w:pPr>
        <w:jc w:val="both"/>
      </w:pPr>
      <w:r>
        <w:t>The government is likely to shrink the fiscal deficit to 5.2% in FY25, down ~70bps YoY. This is a headwind to growth (whether it is done through taxes or spending cuts). Emkay believes that this will be mitigated by the monetary easing expected in 2HCY24 – even if the Fed pivots to a “higher for longer” mode, we think the RBI can cut rates given the expected strong FPI flows in debt through the JP Morgan index inclusion.</w:t>
      </w:r>
    </w:p>
    <w:p w14:paraId="09B96AD6" w14:textId="77777777" w:rsidR="00A554A1" w:rsidRPr="00AE0D5E" w:rsidRDefault="00A554A1" w:rsidP="00AE0D5E">
      <w:pPr>
        <w:jc w:val="both"/>
        <w:rPr>
          <w:b/>
        </w:rPr>
      </w:pPr>
    </w:p>
    <w:p w14:paraId="6BDA2BAA" w14:textId="77777777" w:rsidR="00A554A1" w:rsidRDefault="00A554A1" w:rsidP="00A554A1">
      <w:pPr>
        <w:jc w:val="both"/>
        <w:rPr>
          <w:rFonts w:ascii="Calibri" w:hAnsi="Calibri" w:cs="Calibri"/>
          <w:b/>
          <w:bCs/>
          <w:u w:val="single"/>
        </w:rPr>
      </w:pPr>
      <w:r>
        <w:rPr>
          <w:rFonts w:ascii="Calibri" w:hAnsi="Calibri" w:cs="Calibri"/>
          <w:b/>
          <w:bCs/>
          <w:u w:val="single"/>
        </w:rPr>
        <w:t>About Emkay Global Financial Services Limited</w:t>
      </w:r>
    </w:p>
    <w:p w14:paraId="2BCA11EB" w14:textId="77777777" w:rsidR="00A554A1" w:rsidRDefault="00A554A1" w:rsidP="00A554A1">
      <w:pPr>
        <w:jc w:val="both"/>
        <w:rPr>
          <w:rFonts w:ascii="Calibri" w:hAnsi="Calibri" w:cs="Calibri"/>
        </w:rPr>
      </w:pPr>
      <w:r>
        <w:rPr>
          <w:rFonts w:ascii="Calibri" w:hAnsi="Calibri" w:cs="Calibri"/>
        </w:rPr>
        <w:t xml:space="preserve">Emkay Global Financial Services Ltd., headquartered in Mumbai, India, is an integrated securities firm offering a wide range of investment avenues including investment banking, institutional broking, private wealth management, and financial products distribution. Its institutional broking division services clients across all-important global geographies and its research have received recognition from important bodies including Thomson Reuters, </w:t>
      </w:r>
      <w:proofErr w:type="spellStart"/>
      <w:r>
        <w:rPr>
          <w:rFonts w:ascii="Calibri" w:hAnsi="Calibri" w:cs="Calibri"/>
        </w:rPr>
        <w:t>Asiamoney</w:t>
      </w:r>
      <w:proofErr w:type="spellEnd"/>
      <w:r>
        <w:rPr>
          <w:rFonts w:ascii="Calibri" w:hAnsi="Calibri" w:cs="Calibri"/>
        </w:rPr>
        <w:t>, The Wall Street Journal amongst others, over the years.</w:t>
      </w:r>
    </w:p>
    <w:p w14:paraId="021E3346" w14:textId="77777777" w:rsidR="00A554A1" w:rsidRDefault="00A554A1" w:rsidP="00A554A1">
      <w:pPr>
        <w:rPr>
          <w:rFonts w:ascii="Calibri" w:hAnsi="Calibri" w:cs="Calibri"/>
        </w:rPr>
      </w:pPr>
    </w:p>
    <w:p w14:paraId="5BA1C22B" w14:textId="77777777" w:rsidR="00A554A1" w:rsidRDefault="00A554A1" w:rsidP="00A554A1">
      <w:pPr>
        <w:rPr>
          <w:rFonts w:ascii="Calibri" w:hAnsi="Calibri" w:cs="Calibri"/>
          <w:b/>
          <w:bCs/>
          <w:u w:val="single"/>
        </w:rPr>
      </w:pPr>
      <w:r>
        <w:rPr>
          <w:rFonts w:ascii="Calibri" w:hAnsi="Calibri" w:cs="Calibri"/>
          <w:b/>
          <w:bCs/>
          <w:u w:val="single"/>
        </w:rPr>
        <w:t>For further information, please contact:</w:t>
      </w:r>
    </w:p>
    <w:p w14:paraId="67A2DF3C" w14:textId="77777777" w:rsidR="00A554A1" w:rsidRDefault="00A554A1" w:rsidP="00A554A1">
      <w:pPr>
        <w:spacing w:after="0"/>
        <w:rPr>
          <w:rFonts w:ascii="Calibri" w:hAnsi="Calibri" w:cs="Calibri"/>
          <w:b/>
          <w:bCs/>
        </w:rPr>
      </w:pPr>
      <w:r>
        <w:rPr>
          <w:rFonts w:ascii="Calibri" w:hAnsi="Calibri" w:cs="Calibri"/>
          <w:b/>
          <w:bCs/>
        </w:rPr>
        <w:t>Shatakshi Pandey                                                                         Mansoor Khan</w:t>
      </w:r>
    </w:p>
    <w:p w14:paraId="6E5AFC0D" w14:textId="77777777" w:rsidR="00A554A1" w:rsidRDefault="00A554A1" w:rsidP="00A554A1">
      <w:pPr>
        <w:spacing w:after="0"/>
        <w:rPr>
          <w:rFonts w:ascii="Calibri" w:hAnsi="Calibri" w:cs="Calibri"/>
        </w:rPr>
      </w:pPr>
      <w:r>
        <w:rPr>
          <w:rFonts w:ascii="Calibri" w:hAnsi="Calibri" w:cs="Calibri"/>
        </w:rPr>
        <w:t xml:space="preserve">White Marque Solutions                                                    </w:t>
      </w:r>
      <w:r>
        <w:rPr>
          <w:rFonts w:ascii="Calibri" w:hAnsi="Calibri" w:cs="Calibri"/>
        </w:rPr>
        <w:tab/>
        <w:t xml:space="preserve">    White Marque Solutions</w:t>
      </w:r>
    </w:p>
    <w:p w14:paraId="33847735" w14:textId="77777777" w:rsidR="00A554A1" w:rsidRDefault="00A554A1" w:rsidP="00A554A1">
      <w:pPr>
        <w:spacing w:after="0"/>
        <w:rPr>
          <w:rFonts w:ascii="Calibri" w:hAnsi="Calibri" w:cs="Calibri"/>
        </w:rPr>
      </w:pPr>
      <w:r>
        <w:rPr>
          <w:rFonts w:ascii="Calibri" w:hAnsi="Calibri" w:cs="Calibri"/>
        </w:rPr>
        <w:t>+91 8454993612                                                                           +91-8108385015</w:t>
      </w:r>
    </w:p>
    <w:p w14:paraId="7BDE0916" w14:textId="4F7AC54B" w:rsidR="00A554A1" w:rsidRDefault="00A554A1" w:rsidP="00A554A1">
      <w:pPr>
        <w:spacing w:after="0"/>
        <w:rPr>
          <w:rFonts w:ascii="Calibri" w:hAnsi="Calibri" w:cs="Calibri"/>
        </w:rPr>
      </w:pPr>
      <w:hyperlink r:id="rId6" w:history="1">
        <w:r w:rsidRPr="00492A92">
          <w:rPr>
            <w:rStyle w:val="Hyperlink"/>
          </w:rPr>
          <w:t>shatakshi@whitemarquesolutions.com</w:t>
        </w:r>
      </w:hyperlink>
      <w:r>
        <w:t xml:space="preserve"> </w:t>
      </w:r>
      <w:r>
        <w:rPr>
          <w:rFonts w:ascii="Calibri" w:hAnsi="Calibri" w:cs="Calibri"/>
        </w:rPr>
        <w:t xml:space="preserve">  </w:t>
      </w:r>
      <w:r>
        <w:rPr>
          <w:rFonts w:ascii="Calibri" w:hAnsi="Calibri" w:cs="Calibri"/>
        </w:rPr>
        <w:t xml:space="preserve">                                </w:t>
      </w:r>
      <w:hyperlink r:id="rId7" w:history="1">
        <w:r w:rsidRPr="00492A92">
          <w:rPr>
            <w:rStyle w:val="Hyperlink"/>
            <w:rFonts w:ascii="Calibri" w:hAnsi="Calibri" w:cs="Calibri"/>
          </w:rPr>
          <w:t>mansoor@whitemarquesolutions.com</w:t>
        </w:r>
      </w:hyperlink>
      <w:r>
        <w:rPr>
          <w:rFonts w:ascii="Calibri" w:hAnsi="Calibri" w:cs="Calibri"/>
        </w:rPr>
        <w:t xml:space="preserve"> </w:t>
      </w:r>
    </w:p>
    <w:p w14:paraId="29A70ECA" w14:textId="77777777" w:rsidR="00AE0D5E" w:rsidRPr="000F44B4" w:rsidRDefault="00AE0D5E">
      <w:pPr>
        <w:rPr>
          <w:lang w:val="en-US"/>
        </w:rPr>
      </w:pPr>
    </w:p>
    <w:sectPr w:rsidR="00AE0D5E" w:rsidRPr="000F44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295A" w14:textId="77777777" w:rsidR="00040D8A" w:rsidRDefault="00040D8A" w:rsidP="00732A41">
      <w:pPr>
        <w:spacing w:after="0" w:line="240" w:lineRule="auto"/>
      </w:pPr>
      <w:r>
        <w:separator/>
      </w:r>
    </w:p>
  </w:endnote>
  <w:endnote w:type="continuationSeparator" w:id="0">
    <w:p w14:paraId="57B77FE8" w14:textId="77777777" w:rsidR="00040D8A" w:rsidRDefault="00040D8A" w:rsidP="0073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43CE" w14:textId="77777777" w:rsidR="00040D8A" w:rsidRDefault="00040D8A" w:rsidP="00732A41">
      <w:pPr>
        <w:spacing w:after="0" w:line="240" w:lineRule="auto"/>
      </w:pPr>
      <w:r>
        <w:separator/>
      </w:r>
    </w:p>
  </w:footnote>
  <w:footnote w:type="continuationSeparator" w:id="0">
    <w:p w14:paraId="23F08CBD" w14:textId="77777777" w:rsidR="00040D8A" w:rsidRDefault="00040D8A" w:rsidP="0073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99CE" w14:textId="1BF4FBE9" w:rsidR="00732A41" w:rsidRDefault="00732A41">
    <w:pPr>
      <w:pStyle w:val="Header"/>
    </w:pPr>
    <w:r>
      <w:rPr>
        <w:rFonts w:ascii="Calibri" w:hAnsi="Calibri" w:cs="Calibri"/>
        <w:b/>
        <w:bCs/>
        <w:noProof/>
        <w:lang w:eastAsia="en-IN"/>
      </w:rPr>
      <w:drawing>
        <wp:anchor distT="0" distB="0" distL="114300" distR="114300" simplePos="0" relativeHeight="251659264" behindDoc="1" locked="0" layoutInCell="1" allowOverlap="1" wp14:anchorId="2070E480" wp14:editId="47311C0D">
          <wp:simplePos x="0" y="0"/>
          <wp:positionH relativeFrom="page">
            <wp:posOffset>6558915</wp:posOffset>
          </wp:positionH>
          <wp:positionV relativeFrom="paragraph">
            <wp:posOffset>-265430</wp:posOffset>
          </wp:positionV>
          <wp:extent cx="877570" cy="498475"/>
          <wp:effectExtent l="0" t="0" r="0" b="0"/>
          <wp:wrapTight wrapText="bothSides">
            <wp:wrapPolygon edited="0">
              <wp:start x="0" y="0"/>
              <wp:lineTo x="0" y="20637"/>
              <wp:lineTo x="21100" y="20637"/>
              <wp:lineTo x="21100" y="0"/>
              <wp:lineTo x="0" y="0"/>
            </wp:wrapPolygon>
          </wp:wrapTight>
          <wp:docPr id="2" name="Picture 2" descr="Description: Description: cid:Cmp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cid:Cmpy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7570" cy="498475"/>
                  </a:xfrm>
                  <a:prstGeom prst="rect">
                    <a:avLst/>
                  </a:prstGeom>
                  <a:noFill/>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B4"/>
    <w:rsid w:val="00040D8A"/>
    <w:rsid w:val="00053E15"/>
    <w:rsid w:val="00096A7F"/>
    <w:rsid w:val="000F44B4"/>
    <w:rsid w:val="001C5562"/>
    <w:rsid w:val="001E78D9"/>
    <w:rsid w:val="002D114A"/>
    <w:rsid w:val="00311073"/>
    <w:rsid w:val="00385148"/>
    <w:rsid w:val="004D5429"/>
    <w:rsid w:val="004F202E"/>
    <w:rsid w:val="005B5917"/>
    <w:rsid w:val="006E4CA6"/>
    <w:rsid w:val="006E516B"/>
    <w:rsid w:val="00732A41"/>
    <w:rsid w:val="00771098"/>
    <w:rsid w:val="008408D4"/>
    <w:rsid w:val="00A554A1"/>
    <w:rsid w:val="00AE0D5E"/>
    <w:rsid w:val="00B64F5A"/>
    <w:rsid w:val="00C6478C"/>
    <w:rsid w:val="00DA422D"/>
    <w:rsid w:val="00F318C6"/>
    <w:rsid w:val="00F47745"/>
    <w:rsid w:val="00F93520"/>
    <w:rsid w:val="00FC2F4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F79AD"/>
  <w15:chartTrackingRefBased/>
  <w15:docId w15:val="{8DDD38DC-DB18-4C34-ADB1-E8BB2E4B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4A1"/>
    <w:rPr>
      <w:color w:val="0563C1" w:themeColor="hyperlink"/>
      <w:u w:val="single"/>
    </w:rPr>
  </w:style>
  <w:style w:type="character" w:styleId="UnresolvedMention">
    <w:name w:val="Unresolved Mention"/>
    <w:basedOn w:val="DefaultParagraphFont"/>
    <w:uiPriority w:val="99"/>
    <w:semiHidden/>
    <w:unhideWhenUsed/>
    <w:rsid w:val="00A554A1"/>
    <w:rPr>
      <w:color w:val="605E5C"/>
      <w:shd w:val="clear" w:color="auto" w:fill="E1DFDD"/>
    </w:rPr>
  </w:style>
  <w:style w:type="paragraph" w:styleId="Header">
    <w:name w:val="header"/>
    <w:basedOn w:val="Normal"/>
    <w:link w:val="HeaderChar"/>
    <w:uiPriority w:val="99"/>
    <w:unhideWhenUsed/>
    <w:rsid w:val="0073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41"/>
  </w:style>
  <w:style w:type="paragraph" w:styleId="Footer">
    <w:name w:val="footer"/>
    <w:basedOn w:val="Normal"/>
    <w:link w:val="FooterChar"/>
    <w:uiPriority w:val="99"/>
    <w:unhideWhenUsed/>
    <w:rsid w:val="0073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98038">
      <w:bodyDiv w:val="1"/>
      <w:marLeft w:val="0"/>
      <w:marRight w:val="0"/>
      <w:marTop w:val="0"/>
      <w:marBottom w:val="0"/>
      <w:divBdr>
        <w:top w:val="none" w:sz="0" w:space="0" w:color="auto"/>
        <w:left w:val="none" w:sz="0" w:space="0" w:color="auto"/>
        <w:bottom w:val="none" w:sz="0" w:space="0" w:color="auto"/>
        <w:right w:val="none" w:sz="0" w:space="0" w:color="auto"/>
      </w:divBdr>
    </w:div>
    <w:div w:id="13957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nsoor@whitemarque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takshi@whitemarquesolu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WMS</dc:creator>
  <cp:keywords/>
  <dc:description/>
  <cp:lastModifiedBy>WMS</cp:lastModifiedBy>
  <cp:revision>4</cp:revision>
  <dcterms:created xsi:type="dcterms:W3CDTF">2024-01-18T06:33:00Z</dcterms:created>
  <dcterms:modified xsi:type="dcterms:W3CDTF">2024-01-18T06:35:00Z</dcterms:modified>
</cp:coreProperties>
</file>